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380" w:rsidRPr="00333219" w:rsidRDefault="00320F55" w:rsidP="00333219">
      <w:pPr>
        <w:jc w:val="center"/>
        <w:rPr>
          <w:b/>
        </w:rPr>
      </w:pPr>
      <w:r>
        <w:rPr>
          <w:b/>
        </w:rPr>
        <w:t>Fair Housing</w:t>
      </w:r>
    </w:p>
    <w:p w:rsidR="007F5380" w:rsidRDefault="007F5380" w:rsidP="007F5380">
      <w:pPr>
        <w:ind w:firstLine="720"/>
        <w:jc w:val="center"/>
      </w:pPr>
    </w:p>
    <w:p w:rsidR="003C3C4F" w:rsidRDefault="0017535C" w:rsidP="00270269">
      <w:pPr>
        <w:ind w:firstLine="720"/>
      </w:pPr>
      <w:r>
        <w:t xml:space="preserve">April is Fair Housing Month, which serves as a reminder of the importance </w:t>
      </w:r>
      <w:r w:rsidR="003C3C4F">
        <w:t xml:space="preserve">of ending housing discrimination.  Fair Housing Law requires housing providers to accommodate a person with a disability by changing or modifying a rule, policy or practice when the accommodation is necessary to allow that person an equal opportunity to use and enjoy a dwelling and the request does not impose either an undue financial and administrative burden, or a fundamental alteration to the nature of the operations of the person receiving the request.  Housing providers </w:t>
      </w:r>
      <w:proofErr w:type="gramStart"/>
      <w:r w:rsidR="003C3C4F">
        <w:t>are allowed to</w:t>
      </w:r>
      <w:proofErr w:type="gramEnd"/>
      <w:r w:rsidR="003C3C4F">
        <w:t xml:space="preserve"> deny a request under limited circumstances but must enter into a good-faith interactive process to determine if there is an alternate accommodation that would effectively address the disability-related needs of the requester. </w:t>
      </w:r>
    </w:p>
    <w:p w:rsidR="00000000" w:rsidRPr="00270269" w:rsidRDefault="003C3C4F" w:rsidP="00270269">
      <w:pPr>
        <w:ind w:firstLine="720"/>
      </w:pPr>
      <w:r>
        <w:t xml:space="preserve">This </w:t>
      </w:r>
      <w:r w:rsidR="00D87381">
        <w:t>case study highlights the importance of</w:t>
      </w:r>
      <w:r w:rsidR="00320F55">
        <w:t xml:space="preserve"> engaging in </w:t>
      </w:r>
      <w:r>
        <w:t>that</w:t>
      </w:r>
      <w:r w:rsidR="00320F55">
        <w:t xml:space="preserve"> interactive process when a tenant requests a</w:t>
      </w:r>
      <w:r w:rsidR="00111E0E">
        <w:t xml:space="preserve">n </w:t>
      </w:r>
      <w:r w:rsidR="00320F55">
        <w:t>accommodation</w:t>
      </w:r>
      <w:r>
        <w:t xml:space="preserve"> that the housing provider is unable to accommodate.</w:t>
      </w:r>
      <w:r w:rsidR="00270269">
        <w:t xml:space="preserve"> </w:t>
      </w:r>
      <w:r w:rsidR="0010027E" w:rsidRPr="00270269">
        <w:t xml:space="preserve"> </w:t>
      </w:r>
    </w:p>
    <w:p w:rsidR="00270269" w:rsidRPr="007F5380" w:rsidRDefault="00270269" w:rsidP="007F5380">
      <w:pPr>
        <w:ind w:firstLine="720"/>
      </w:pPr>
    </w:p>
    <w:p w:rsidR="00666672" w:rsidRDefault="00666672" w:rsidP="00666672">
      <w:pPr>
        <w:rPr>
          <w:b/>
          <w:smallCaps/>
        </w:rPr>
      </w:pPr>
      <w:r w:rsidRPr="00057E31">
        <w:rPr>
          <w:b/>
          <w:smallCaps/>
        </w:rPr>
        <w:t>The Situation:</w:t>
      </w:r>
    </w:p>
    <w:p w:rsidR="0008450D" w:rsidRDefault="00B02EF2" w:rsidP="00320F55">
      <w:r w:rsidRPr="00B02EF2">
        <w:tab/>
      </w:r>
      <w:r w:rsidR="0008450D">
        <w:t xml:space="preserve">Ms. Rebecca Cody </w:t>
      </w:r>
      <w:proofErr w:type="gramStart"/>
      <w:r w:rsidR="0008450D">
        <w:t>entered into</w:t>
      </w:r>
      <w:proofErr w:type="gramEnd"/>
      <w:r w:rsidR="0008450D">
        <w:t xml:space="preserve"> a year-long lease for an apartment on February 1, 2018. Ms. Cody was the primary tenant, and her </w:t>
      </w:r>
      <w:r w:rsidR="003C3C4F">
        <w:t xml:space="preserve">eight-year-old </w:t>
      </w:r>
      <w:r w:rsidR="0008450D">
        <w:t>daughter was listed as an authorized occupant. The housing complex was owned by West Creek Properties, Inc., and managed by M</w:t>
      </w:r>
      <w:r w:rsidR="003C3C4F">
        <w:t>r</w:t>
      </w:r>
      <w:r w:rsidR="0008450D">
        <w:t>. Jam</w:t>
      </w:r>
      <w:r w:rsidR="003C3C4F">
        <w:t>es</w:t>
      </w:r>
      <w:r w:rsidR="0008450D">
        <w:t xml:space="preserve"> Hobbs, a licensed real estate agent who worked with Property Management Solutions, LLC, a brokerage firm specializing in property management. </w:t>
      </w:r>
    </w:p>
    <w:p w:rsidR="00B40DE3" w:rsidRDefault="0008450D" w:rsidP="0008450D">
      <w:pPr>
        <w:ind w:firstLine="720"/>
      </w:pPr>
      <w:r>
        <w:t xml:space="preserve">While residing at the property, Ms. Cody’s daughter </w:t>
      </w:r>
      <w:r w:rsidR="00996EA9">
        <w:t xml:space="preserve">witnessed a traumatic event </w:t>
      </w:r>
      <w:r w:rsidR="003C3C4F">
        <w:t xml:space="preserve">outside of their </w:t>
      </w:r>
      <w:proofErr w:type="gramStart"/>
      <w:r w:rsidR="003C3C4F">
        <w:t>apartment</w:t>
      </w:r>
      <w:r>
        <w:t>,</w:t>
      </w:r>
      <w:r w:rsidR="00996EA9">
        <w:t xml:space="preserve"> and</w:t>
      </w:r>
      <w:proofErr w:type="gramEnd"/>
      <w:r w:rsidR="00996EA9">
        <w:t xml:space="preserve"> was diagnosed with Post-Traumatic Stress Disorder</w:t>
      </w:r>
      <w:r>
        <w:t xml:space="preserve"> in July 2018</w:t>
      </w:r>
      <w:r w:rsidR="00996EA9">
        <w:t xml:space="preserve">. </w:t>
      </w:r>
      <w:r>
        <w:t>In August, Ms. Cody</w:t>
      </w:r>
      <w:r w:rsidR="00996EA9">
        <w:t xml:space="preserve"> as</w:t>
      </w:r>
      <w:r>
        <w:t>ked</w:t>
      </w:r>
      <w:r w:rsidR="00996EA9">
        <w:t xml:space="preserve"> </w:t>
      </w:r>
      <w:r w:rsidR="003C3C4F">
        <w:t>Ms. Hobbs</w:t>
      </w:r>
      <w:r>
        <w:t xml:space="preserve"> to move the family to a different housing complex because of her daughter’s diagnosis.</w:t>
      </w:r>
    </w:p>
    <w:p w:rsidR="0008450D" w:rsidRPr="00B02EF2" w:rsidRDefault="0008450D" w:rsidP="00320F55">
      <w:r>
        <w:tab/>
      </w:r>
      <w:r w:rsidR="003C3C4F">
        <w:t>Mr</w:t>
      </w:r>
      <w:r>
        <w:t>. Hobbs denied Ms. Cody’s reques</w:t>
      </w:r>
      <w:r w:rsidR="003C3C4F">
        <w:t xml:space="preserve">t. </w:t>
      </w:r>
      <w:r>
        <w:t>Ms. Cody filed a complaint alleging a violation of the Fair Housing Laws because M</w:t>
      </w:r>
      <w:r w:rsidR="003C3C4F">
        <w:t>r</w:t>
      </w:r>
      <w:r>
        <w:t>. Hobbs failed to provide her with a reasonable accommodation.</w:t>
      </w:r>
    </w:p>
    <w:p w:rsidR="00666672" w:rsidRPr="00057E31" w:rsidRDefault="00666672" w:rsidP="00666672">
      <w:pPr>
        <w:spacing w:after="0"/>
        <w:rPr>
          <w:b/>
          <w:smallCaps/>
        </w:rPr>
      </w:pPr>
      <w:r w:rsidRPr="00057E31">
        <w:rPr>
          <w:b/>
          <w:smallCaps/>
        </w:rPr>
        <w:t>The Investigation</w:t>
      </w:r>
      <w:r>
        <w:rPr>
          <w:b/>
          <w:smallCaps/>
        </w:rPr>
        <w:t>:</w:t>
      </w:r>
    </w:p>
    <w:p w:rsidR="00666672" w:rsidRDefault="00666672" w:rsidP="0072532A">
      <w:pPr>
        <w:spacing w:after="0"/>
      </w:pPr>
    </w:p>
    <w:p w:rsidR="00FF70E0" w:rsidRDefault="0008450D" w:rsidP="00320F55">
      <w:pPr>
        <w:spacing w:after="0"/>
      </w:pPr>
      <w:r>
        <w:tab/>
        <w:t xml:space="preserve">Investigators determined that </w:t>
      </w:r>
      <w:r w:rsidR="003C3C4F">
        <w:t>Mr</w:t>
      </w:r>
      <w:r>
        <w:t xml:space="preserve">. Hobbs responded to Ms. Cody’s request for an accommodation in a timely manner and in addition to offering to move the family into a different unit, also provided the option of releasing the Cody family from their lease and waiving the early termination fees. </w:t>
      </w:r>
    </w:p>
    <w:p w:rsidR="0008450D" w:rsidRDefault="0008450D" w:rsidP="00320F55">
      <w:pPr>
        <w:spacing w:after="0"/>
      </w:pPr>
      <w:r>
        <w:tab/>
      </w:r>
      <w:r w:rsidR="003C3C4F">
        <w:t>Mr</w:t>
      </w:r>
      <w:r>
        <w:t xml:space="preserve">. Hobbs reported that </w:t>
      </w:r>
      <w:r w:rsidR="00270269">
        <w:t xml:space="preserve">although Property Management Solutions, LLC managed many properties in the area, the owner of this </w:t>
      </w:r>
      <w:proofErr w:type="gramStart"/>
      <w:r w:rsidR="00270269">
        <w:t>particular property</w:t>
      </w:r>
      <w:proofErr w:type="gramEnd"/>
      <w:r w:rsidR="00270269">
        <w:t xml:space="preserve"> did not own any other housing complexes. West Creek Properties, Inc. owned the one apartment complex</w:t>
      </w:r>
      <w:r w:rsidR="003C3C4F">
        <w:t xml:space="preserve"> which was</w:t>
      </w:r>
      <w:r w:rsidR="00270269">
        <w:t xml:space="preserve"> where Ms. Cody and her daughter lived. </w:t>
      </w:r>
      <w:r w:rsidR="0010027E">
        <w:t>Therefore, h</w:t>
      </w:r>
      <w:r w:rsidR="003C3C4F">
        <w:t>e</w:t>
      </w:r>
      <w:r w:rsidR="00270269">
        <w:t xml:space="preserve"> was unable to provide them with housing at a different housing complex. </w:t>
      </w:r>
      <w:r w:rsidR="0010027E">
        <w:t>He</w:t>
      </w:r>
      <w:r w:rsidR="00270269">
        <w:t xml:space="preserve"> stated, “It was impossible for me to accommodate her request, so I made two other offers to try to accommodate the child’s medical diagnosis.” </w:t>
      </w:r>
    </w:p>
    <w:p w:rsidR="00B40DE3" w:rsidRDefault="00B40DE3" w:rsidP="0072532A">
      <w:pPr>
        <w:spacing w:after="0"/>
      </w:pPr>
    </w:p>
    <w:p w:rsidR="00666672" w:rsidRPr="00057E31" w:rsidRDefault="00666672" w:rsidP="00666672">
      <w:pPr>
        <w:spacing w:after="0"/>
        <w:rPr>
          <w:b/>
          <w:smallCaps/>
        </w:rPr>
      </w:pPr>
      <w:r w:rsidRPr="00057E31">
        <w:rPr>
          <w:b/>
          <w:smallCaps/>
        </w:rPr>
        <w:t>The Result</w:t>
      </w:r>
      <w:r>
        <w:rPr>
          <w:b/>
          <w:smallCaps/>
        </w:rPr>
        <w:t>:</w:t>
      </w:r>
    </w:p>
    <w:p w:rsidR="00881A57" w:rsidRDefault="00666672" w:rsidP="00666672">
      <w:pPr>
        <w:spacing w:after="0"/>
      </w:pPr>
      <w:r>
        <w:tab/>
      </w:r>
    </w:p>
    <w:p w:rsidR="00666672" w:rsidRPr="000229D5" w:rsidRDefault="00666672" w:rsidP="00881A57">
      <w:pPr>
        <w:spacing w:after="0"/>
        <w:ind w:firstLine="720"/>
      </w:pPr>
      <w:r>
        <w:lastRenderedPageBreak/>
        <w:t xml:space="preserve">The Board determined that </w:t>
      </w:r>
      <w:r w:rsidR="00320F55">
        <w:t>there was no reasonable cause</w:t>
      </w:r>
      <w:r w:rsidR="0010027E">
        <w:t xml:space="preserve"> to find</w:t>
      </w:r>
      <w:r w:rsidR="00320F55">
        <w:t xml:space="preserve"> that </w:t>
      </w:r>
      <w:r w:rsidR="0010027E">
        <w:t xml:space="preserve">Mr. Hobbs violated Fair Housing Law and </w:t>
      </w:r>
      <w:r w:rsidR="00320F55">
        <w:t xml:space="preserve">discriminated against </w:t>
      </w:r>
      <w:r w:rsidR="0010027E">
        <w:t>Ms. Cody and her daughter</w:t>
      </w:r>
      <w:r w:rsidR="00320F55">
        <w:t xml:space="preserve"> by refusing to make a reasonable accommodation based on disability. </w:t>
      </w:r>
      <w:bookmarkStart w:id="0" w:name="_GoBack"/>
      <w:bookmarkEnd w:id="0"/>
    </w:p>
    <w:p w:rsidR="0033755A" w:rsidRDefault="0033755A"/>
    <w:sectPr w:rsidR="00337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1785"/>
    <w:multiLevelType w:val="hybridMultilevel"/>
    <w:tmpl w:val="E6F01110"/>
    <w:lvl w:ilvl="0" w:tplc="01567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AC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27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107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C9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A46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0D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48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61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CA0297"/>
    <w:multiLevelType w:val="hybridMultilevel"/>
    <w:tmpl w:val="220EEB92"/>
    <w:lvl w:ilvl="0" w:tplc="D8A49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22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09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FA2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46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E4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460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1E7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CC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5A"/>
    <w:rsid w:val="0008450D"/>
    <w:rsid w:val="0010027E"/>
    <w:rsid w:val="00111E0E"/>
    <w:rsid w:val="0017535C"/>
    <w:rsid w:val="00270269"/>
    <w:rsid w:val="00320F55"/>
    <w:rsid w:val="00333219"/>
    <w:rsid w:val="0033755A"/>
    <w:rsid w:val="003C3C4F"/>
    <w:rsid w:val="00461E00"/>
    <w:rsid w:val="00666672"/>
    <w:rsid w:val="0072532A"/>
    <w:rsid w:val="007F5380"/>
    <w:rsid w:val="00814F50"/>
    <w:rsid w:val="00881A57"/>
    <w:rsid w:val="00996EA9"/>
    <w:rsid w:val="00B02EF2"/>
    <w:rsid w:val="00B40DE3"/>
    <w:rsid w:val="00D20C16"/>
    <w:rsid w:val="00D23B1C"/>
    <w:rsid w:val="00D65BCB"/>
    <w:rsid w:val="00D87381"/>
    <w:rsid w:val="00F84ADB"/>
    <w:rsid w:val="00FD7E6F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12C31"/>
  <w15:chartTrackingRefBased/>
  <w15:docId w15:val="{4F81717C-C83D-45AC-9982-DF86021B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6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8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8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2780C6FCE404F895883EA459121D4" ma:contentTypeVersion="2" ma:contentTypeDescription="Create a new document." ma:contentTypeScope="" ma:versionID="6d47c13eee263daae1ec224983431fbb">
  <xsd:schema xmlns:xsd="http://www.w3.org/2001/XMLSchema" xmlns:xs="http://www.w3.org/2001/XMLSchema" xmlns:p="http://schemas.microsoft.com/office/2006/metadata/properties" xmlns:ns2="ed82d5ce-ac55-4faf-b302-f86d2c2d6074" targetNamespace="http://schemas.microsoft.com/office/2006/metadata/properties" ma:root="true" ma:fieldsID="31566fe226dbc569b6c4e61610f4bfbb" ns2:_="">
    <xsd:import namespace="ed82d5ce-ac55-4faf-b302-f86d2c2d6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2d5ce-ac55-4faf-b302-f86d2c2d6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3F08CE-D051-4E1A-A7C4-D7A80B1596C4}"/>
</file>

<file path=customXml/itemProps2.xml><?xml version="1.0" encoding="utf-8"?>
<ds:datastoreItem xmlns:ds="http://schemas.openxmlformats.org/officeDocument/2006/customXml" ds:itemID="{5A3DC971-F2AB-4F20-9259-30E16A4486F9}"/>
</file>

<file path=customXml/itemProps3.xml><?xml version="1.0" encoding="utf-8"?>
<ds:datastoreItem xmlns:ds="http://schemas.openxmlformats.org/officeDocument/2006/customXml" ds:itemID="{6BDD9F39-106D-41CD-89E4-A70362640B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Oroszlan</dc:creator>
  <cp:keywords/>
  <dc:description/>
  <cp:lastModifiedBy>Cate Oroszlan</cp:lastModifiedBy>
  <cp:revision>4</cp:revision>
  <dcterms:created xsi:type="dcterms:W3CDTF">2019-03-21T20:56:00Z</dcterms:created>
  <dcterms:modified xsi:type="dcterms:W3CDTF">2019-03-22T20:16:00Z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0x0101007092780C6FCE404F895883EA459121D4</vt:lpwstr>
  </property>
</Properties>
</file>